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2DB" w:rsidRDefault="007932DB" w:rsidP="007932DB">
      <w:pPr>
        <w:pStyle w:val="NormalWeb"/>
        <w:jc w:val="both"/>
        <w:rPr>
          <w:rFonts w:ascii="Arial" w:hAnsi="Arial" w:cs="Arial"/>
          <w:color w:val="000000"/>
          <w:sz w:val="20"/>
          <w:szCs w:val="20"/>
        </w:rPr>
      </w:pPr>
      <w:r>
        <w:rPr>
          <w:rFonts w:ascii="Arial" w:hAnsi="Arial" w:cs="Arial"/>
          <w:color w:val="000000"/>
          <w:sz w:val="20"/>
          <w:szCs w:val="20"/>
        </w:rPr>
        <w:t>Notre pays, comme d’autres pays Européens, connait une pénurie des traitements adjuvants pour les tumeurs de vessie n’infiltrant pas le muscle (TVNIM).</w:t>
      </w:r>
    </w:p>
    <w:p w:rsidR="00180BB3" w:rsidRDefault="007C7A31" w:rsidP="007932DB">
      <w:pPr>
        <w:pStyle w:val="NormalWeb"/>
        <w:jc w:val="both"/>
        <w:rPr>
          <w:rFonts w:ascii="Arial" w:hAnsi="Arial" w:cs="Arial"/>
          <w:color w:val="000000"/>
          <w:sz w:val="20"/>
          <w:szCs w:val="20"/>
        </w:rPr>
      </w:pPr>
      <w:r>
        <w:rPr>
          <w:rStyle w:val="lev"/>
          <w:rFonts w:ascii="Arial" w:hAnsi="Arial" w:cs="Arial"/>
          <w:color w:val="000000"/>
          <w:sz w:val="20"/>
          <w:szCs w:val="20"/>
        </w:rPr>
        <w:t xml:space="preserve">La </w:t>
      </w:r>
      <w:proofErr w:type="spellStart"/>
      <w:r>
        <w:rPr>
          <w:rStyle w:val="lev"/>
          <w:rFonts w:ascii="Arial" w:hAnsi="Arial" w:cs="Arial"/>
          <w:color w:val="000000"/>
          <w:sz w:val="20"/>
          <w:szCs w:val="20"/>
        </w:rPr>
        <w:t>M</w:t>
      </w:r>
      <w:r w:rsidR="007932DB">
        <w:rPr>
          <w:rStyle w:val="lev"/>
          <w:rFonts w:ascii="Arial" w:hAnsi="Arial" w:cs="Arial"/>
          <w:color w:val="000000"/>
          <w:sz w:val="20"/>
          <w:szCs w:val="20"/>
        </w:rPr>
        <w:t>itomycine</w:t>
      </w:r>
      <w:proofErr w:type="spellEnd"/>
      <w:r w:rsidR="007932DB">
        <w:rPr>
          <w:rStyle w:val="lev"/>
          <w:rFonts w:ascii="Arial" w:hAnsi="Arial" w:cs="Arial"/>
          <w:color w:val="000000"/>
          <w:sz w:val="20"/>
          <w:szCs w:val="20"/>
        </w:rPr>
        <w:t xml:space="preserve"> C</w:t>
      </w:r>
      <w:r w:rsidR="007932DB">
        <w:rPr>
          <w:rFonts w:ascii="Arial" w:hAnsi="Arial" w:cs="Arial"/>
          <w:color w:val="000000"/>
          <w:sz w:val="20"/>
          <w:szCs w:val="20"/>
        </w:rPr>
        <w:t xml:space="preserve"> (MMC) est recommandée pour le traitement adjuvant des tumeurs de vessie de risque intermédiaire (</w:t>
      </w:r>
      <w:proofErr w:type="spellStart"/>
      <w:r w:rsidR="007932DB">
        <w:rPr>
          <w:rFonts w:ascii="Arial" w:hAnsi="Arial" w:cs="Arial"/>
          <w:color w:val="000000"/>
          <w:sz w:val="20"/>
          <w:szCs w:val="20"/>
        </w:rPr>
        <w:t>pTa</w:t>
      </w:r>
      <w:proofErr w:type="spellEnd"/>
      <w:r w:rsidR="007932DB">
        <w:rPr>
          <w:rFonts w:ascii="Arial" w:hAnsi="Arial" w:cs="Arial"/>
          <w:color w:val="000000"/>
          <w:sz w:val="20"/>
          <w:szCs w:val="20"/>
        </w:rPr>
        <w:t xml:space="preserve"> de bas grade (Gr 1-2) récidivantes et/ou multifocales). Commercialisée en </w:t>
      </w:r>
      <w:r w:rsidR="006D63FB">
        <w:rPr>
          <w:rFonts w:ascii="Arial" w:hAnsi="Arial" w:cs="Arial"/>
          <w:color w:val="000000"/>
          <w:sz w:val="20"/>
          <w:szCs w:val="20"/>
        </w:rPr>
        <w:t xml:space="preserve">Belgique </w:t>
      </w:r>
      <w:r w:rsidR="007932DB">
        <w:rPr>
          <w:rFonts w:ascii="Arial" w:hAnsi="Arial" w:cs="Arial"/>
          <w:color w:val="000000"/>
          <w:sz w:val="20"/>
          <w:szCs w:val="20"/>
        </w:rPr>
        <w:t xml:space="preserve">par </w:t>
      </w:r>
      <w:proofErr w:type="spellStart"/>
      <w:r w:rsidR="007932DB">
        <w:rPr>
          <w:rFonts w:ascii="Arial" w:hAnsi="Arial" w:cs="Arial"/>
          <w:color w:val="000000"/>
          <w:sz w:val="20"/>
          <w:szCs w:val="20"/>
        </w:rPr>
        <w:t>Kyowa</w:t>
      </w:r>
      <w:proofErr w:type="spellEnd"/>
      <w:r w:rsidR="007932DB">
        <w:rPr>
          <w:rFonts w:ascii="Arial" w:hAnsi="Arial" w:cs="Arial"/>
          <w:color w:val="000000"/>
          <w:sz w:val="20"/>
          <w:szCs w:val="20"/>
        </w:rPr>
        <w:t xml:space="preserve"> </w:t>
      </w:r>
      <w:proofErr w:type="spellStart"/>
      <w:r w:rsidR="007932DB">
        <w:rPr>
          <w:rFonts w:ascii="Arial" w:hAnsi="Arial" w:cs="Arial"/>
          <w:color w:val="000000"/>
          <w:sz w:val="20"/>
          <w:szCs w:val="20"/>
        </w:rPr>
        <w:t>Kirin</w:t>
      </w:r>
      <w:proofErr w:type="spellEnd"/>
      <w:r w:rsidR="007932DB">
        <w:rPr>
          <w:rFonts w:ascii="Arial" w:hAnsi="Arial" w:cs="Arial"/>
          <w:color w:val="000000"/>
          <w:sz w:val="20"/>
          <w:szCs w:val="20"/>
        </w:rPr>
        <w:t xml:space="preserve"> Pharma SAS, l’approvisionnement en MMC connait </w:t>
      </w:r>
      <w:r>
        <w:rPr>
          <w:rFonts w:ascii="Arial" w:hAnsi="Arial" w:cs="Arial"/>
          <w:color w:val="000000"/>
          <w:sz w:val="20"/>
          <w:szCs w:val="20"/>
        </w:rPr>
        <w:t xml:space="preserve">un arrêt  </w:t>
      </w:r>
      <w:r w:rsidR="007932DB">
        <w:rPr>
          <w:rFonts w:ascii="Arial" w:hAnsi="Arial" w:cs="Arial"/>
          <w:color w:val="000000"/>
          <w:sz w:val="20"/>
          <w:szCs w:val="20"/>
        </w:rPr>
        <w:t xml:space="preserve">d’approvisionnement depuis </w:t>
      </w:r>
      <w:r w:rsidR="006D63FB">
        <w:rPr>
          <w:rFonts w:ascii="Arial" w:hAnsi="Arial" w:cs="Arial"/>
          <w:color w:val="000000"/>
          <w:sz w:val="20"/>
          <w:szCs w:val="20"/>
        </w:rPr>
        <w:t xml:space="preserve">de nombreux mois </w:t>
      </w:r>
      <w:r w:rsidR="007932DB">
        <w:rPr>
          <w:rFonts w:ascii="Arial" w:hAnsi="Arial" w:cs="Arial"/>
          <w:color w:val="000000"/>
          <w:sz w:val="20"/>
          <w:szCs w:val="20"/>
        </w:rPr>
        <w:t xml:space="preserve">en raison de problèmes réglementaires entourant sa production. Une mise en quarantaine des lots produits a été imposée par la </w:t>
      </w:r>
      <w:r w:rsidR="007932DB">
        <w:rPr>
          <w:rStyle w:val="Accentuation"/>
          <w:rFonts w:ascii="Arial" w:hAnsi="Arial" w:cs="Arial"/>
          <w:color w:val="000000"/>
          <w:sz w:val="20"/>
          <w:szCs w:val="20"/>
        </w:rPr>
        <w:t xml:space="preserve">Food and Drug Administration </w:t>
      </w:r>
      <w:r w:rsidR="007932DB">
        <w:rPr>
          <w:rFonts w:ascii="Arial" w:hAnsi="Arial" w:cs="Arial"/>
          <w:color w:val="000000"/>
          <w:sz w:val="20"/>
          <w:szCs w:val="20"/>
        </w:rPr>
        <w:t xml:space="preserve">(FDA) fin septembre 2019 et l’Agence Nationale de Sécurité du Médicament (ANSM) en </w:t>
      </w:r>
      <w:r w:rsidR="00180BB3">
        <w:rPr>
          <w:rFonts w:ascii="Arial" w:hAnsi="Arial" w:cs="Arial"/>
          <w:color w:val="000000"/>
          <w:sz w:val="20"/>
          <w:szCs w:val="20"/>
        </w:rPr>
        <w:t>France ainsi que la Belgique  ont</w:t>
      </w:r>
      <w:r w:rsidR="007932DB">
        <w:rPr>
          <w:rFonts w:ascii="Arial" w:hAnsi="Arial" w:cs="Arial"/>
          <w:color w:val="000000"/>
          <w:sz w:val="20"/>
          <w:szCs w:val="20"/>
        </w:rPr>
        <w:t xml:space="preserve"> été informée</w:t>
      </w:r>
      <w:r w:rsidR="00180BB3">
        <w:rPr>
          <w:rFonts w:ascii="Arial" w:hAnsi="Arial" w:cs="Arial"/>
          <w:color w:val="000000"/>
          <w:sz w:val="20"/>
          <w:szCs w:val="20"/>
        </w:rPr>
        <w:t>s</w:t>
      </w:r>
      <w:r w:rsidR="007932DB">
        <w:rPr>
          <w:rFonts w:ascii="Arial" w:hAnsi="Arial" w:cs="Arial"/>
          <w:color w:val="000000"/>
          <w:sz w:val="20"/>
          <w:szCs w:val="20"/>
        </w:rPr>
        <w:t xml:space="preserve"> de la rupture de stock </w:t>
      </w:r>
      <w:r w:rsidR="00180BB3">
        <w:rPr>
          <w:rFonts w:ascii="Arial" w:hAnsi="Arial" w:cs="Arial"/>
          <w:color w:val="000000"/>
          <w:sz w:val="20"/>
          <w:szCs w:val="20"/>
        </w:rPr>
        <w:t>à la mi-octobre 2019.</w:t>
      </w:r>
    </w:p>
    <w:p w:rsidR="007932DB" w:rsidRDefault="007932DB" w:rsidP="007932DB">
      <w:pPr>
        <w:pStyle w:val="NormalWeb"/>
        <w:jc w:val="both"/>
        <w:rPr>
          <w:rFonts w:ascii="Arial" w:hAnsi="Arial" w:cs="Arial"/>
          <w:color w:val="000000"/>
          <w:sz w:val="20"/>
          <w:szCs w:val="20"/>
        </w:rPr>
      </w:pPr>
      <w:r>
        <w:rPr>
          <w:rStyle w:val="lev"/>
          <w:rFonts w:ascii="Arial" w:hAnsi="Arial" w:cs="Arial"/>
          <w:color w:val="000000"/>
          <w:sz w:val="20"/>
          <w:szCs w:val="20"/>
        </w:rPr>
        <w:t>Le BCG</w:t>
      </w:r>
      <w:r>
        <w:rPr>
          <w:rFonts w:ascii="Arial" w:hAnsi="Arial" w:cs="Arial"/>
          <w:color w:val="000000"/>
          <w:sz w:val="20"/>
          <w:szCs w:val="20"/>
        </w:rPr>
        <w:t xml:space="preserve"> est recommandé pour le traitement adjuvant des tumeurs de vessie de haut risque (pT1 et/ou haut grade et/ou présence de carcinome in situ). Après le retrait du marché de l’</w:t>
      </w:r>
      <w:proofErr w:type="spellStart"/>
      <w:r>
        <w:rPr>
          <w:rFonts w:ascii="Arial" w:hAnsi="Arial" w:cs="Arial"/>
          <w:color w:val="000000"/>
          <w:sz w:val="20"/>
          <w:szCs w:val="20"/>
        </w:rPr>
        <w:t>Immucyst</w:t>
      </w:r>
      <w:proofErr w:type="spellEnd"/>
      <w:r>
        <w:rPr>
          <w:rFonts w:ascii="Arial" w:hAnsi="Arial" w:cs="Arial"/>
          <w:color w:val="000000"/>
          <w:sz w:val="20"/>
          <w:szCs w:val="20"/>
        </w:rPr>
        <w:t xml:space="preserve"> (commercialisé par Sanofi) en septembre 2019, la souche </w:t>
      </w:r>
      <w:proofErr w:type="spellStart"/>
      <w:r>
        <w:rPr>
          <w:rFonts w:ascii="Arial" w:hAnsi="Arial" w:cs="Arial"/>
          <w:color w:val="000000"/>
          <w:sz w:val="20"/>
          <w:szCs w:val="20"/>
        </w:rPr>
        <w:t>Tice</w:t>
      </w:r>
      <w:proofErr w:type="spellEnd"/>
      <w:r>
        <w:rPr>
          <w:rFonts w:ascii="Arial" w:hAnsi="Arial" w:cs="Arial"/>
          <w:color w:val="000000"/>
          <w:sz w:val="20"/>
          <w:szCs w:val="20"/>
        </w:rPr>
        <w:t xml:space="preserve"> (</w:t>
      </w:r>
      <w:proofErr w:type="spellStart"/>
      <w:r>
        <w:rPr>
          <w:rFonts w:ascii="Arial" w:hAnsi="Arial" w:cs="Arial"/>
          <w:color w:val="000000"/>
          <w:sz w:val="20"/>
          <w:szCs w:val="20"/>
        </w:rPr>
        <w:t>OncoTice</w:t>
      </w:r>
      <w:proofErr w:type="spellEnd"/>
      <w:r>
        <w:rPr>
          <w:rFonts w:ascii="Arial" w:hAnsi="Arial" w:cs="Arial"/>
          <w:color w:val="000000"/>
          <w:sz w:val="20"/>
          <w:szCs w:val="20"/>
          <w:vertAlign w:val="superscript"/>
        </w:rPr>
        <w:t>®</w:t>
      </w:r>
      <w:r>
        <w:rPr>
          <w:rFonts w:ascii="Arial" w:hAnsi="Arial" w:cs="Arial"/>
          <w:color w:val="000000"/>
          <w:sz w:val="20"/>
          <w:szCs w:val="20"/>
        </w:rPr>
        <w:t xml:space="preserve">) commercialisée par </w:t>
      </w:r>
      <w:proofErr w:type="spellStart"/>
      <w:r>
        <w:rPr>
          <w:rFonts w:ascii="Arial" w:hAnsi="Arial" w:cs="Arial"/>
          <w:color w:val="000000"/>
          <w:sz w:val="20"/>
          <w:szCs w:val="20"/>
        </w:rPr>
        <w:t>Merck</w:t>
      </w:r>
      <w:proofErr w:type="spellEnd"/>
      <w:r>
        <w:rPr>
          <w:rFonts w:ascii="Arial" w:hAnsi="Arial" w:cs="Arial"/>
          <w:color w:val="000000"/>
          <w:sz w:val="20"/>
          <w:szCs w:val="20"/>
        </w:rPr>
        <w:t xml:space="preserve"> Sharp and </w:t>
      </w:r>
      <w:proofErr w:type="spellStart"/>
      <w:r>
        <w:rPr>
          <w:rFonts w:ascii="Arial" w:hAnsi="Arial" w:cs="Arial"/>
          <w:color w:val="000000"/>
          <w:sz w:val="20"/>
          <w:szCs w:val="20"/>
        </w:rPr>
        <w:t>Dohme</w:t>
      </w:r>
      <w:proofErr w:type="spellEnd"/>
      <w:r>
        <w:rPr>
          <w:rFonts w:ascii="Arial" w:hAnsi="Arial" w:cs="Arial"/>
          <w:color w:val="000000"/>
          <w:sz w:val="20"/>
          <w:szCs w:val="20"/>
        </w:rPr>
        <w:t xml:space="preserve"> (MSD), a vu sa demande augmenter, conduisant </w:t>
      </w:r>
      <w:r w:rsidR="00180BB3">
        <w:rPr>
          <w:rFonts w:ascii="Arial" w:hAnsi="Arial" w:cs="Arial"/>
          <w:color w:val="000000"/>
          <w:sz w:val="20"/>
          <w:szCs w:val="20"/>
        </w:rPr>
        <w:t xml:space="preserve">à </w:t>
      </w:r>
      <w:r>
        <w:rPr>
          <w:rFonts w:ascii="Arial" w:hAnsi="Arial" w:cs="Arial"/>
          <w:color w:val="000000"/>
          <w:sz w:val="20"/>
          <w:szCs w:val="20"/>
        </w:rPr>
        <w:t>u</w:t>
      </w:r>
      <w:r w:rsidR="00180BB3">
        <w:rPr>
          <w:rFonts w:ascii="Arial" w:hAnsi="Arial" w:cs="Arial"/>
          <w:color w:val="000000"/>
          <w:sz w:val="20"/>
          <w:szCs w:val="20"/>
        </w:rPr>
        <w:t>ne tension d’approvisionnement</w:t>
      </w:r>
      <w:r>
        <w:rPr>
          <w:rFonts w:ascii="Arial" w:hAnsi="Arial" w:cs="Arial"/>
          <w:color w:val="000000"/>
          <w:sz w:val="20"/>
          <w:szCs w:val="20"/>
        </w:rPr>
        <w:t>.</w:t>
      </w:r>
      <w:r w:rsidR="00180BB3">
        <w:rPr>
          <w:rFonts w:ascii="Arial" w:hAnsi="Arial" w:cs="Arial"/>
          <w:color w:val="000000"/>
          <w:sz w:val="20"/>
          <w:szCs w:val="20"/>
        </w:rPr>
        <w:t xml:space="preserve"> </w:t>
      </w:r>
      <w:r>
        <w:rPr>
          <w:rFonts w:ascii="Arial" w:hAnsi="Arial" w:cs="Arial"/>
          <w:color w:val="000000"/>
          <w:sz w:val="20"/>
          <w:szCs w:val="20"/>
        </w:rPr>
        <w:t xml:space="preserve">Elle connait également des difficultés de production conduisant à une rupture de stock le 16/10/2019. La souche </w:t>
      </w:r>
      <w:proofErr w:type="spellStart"/>
      <w:r>
        <w:rPr>
          <w:rFonts w:ascii="Arial" w:hAnsi="Arial" w:cs="Arial"/>
          <w:color w:val="000000"/>
          <w:sz w:val="20"/>
          <w:szCs w:val="20"/>
        </w:rPr>
        <w:t>Medac</w:t>
      </w:r>
      <w:proofErr w:type="spellEnd"/>
      <w:r>
        <w:rPr>
          <w:rFonts w:ascii="Arial" w:hAnsi="Arial" w:cs="Arial"/>
          <w:color w:val="000000"/>
          <w:sz w:val="20"/>
          <w:szCs w:val="20"/>
        </w:rPr>
        <w:t xml:space="preserve"> (BCG </w:t>
      </w:r>
      <w:proofErr w:type="spellStart"/>
      <w:r>
        <w:rPr>
          <w:rFonts w:ascii="Arial" w:hAnsi="Arial" w:cs="Arial"/>
          <w:color w:val="000000"/>
          <w:sz w:val="20"/>
          <w:szCs w:val="20"/>
        </w:rPr>
        <w:t>Medac</w:t>
      </w:r>
      <w:proofErr w:type="spellEnd"/>
      <w:r>
        <w:rPr>
          <w:rFonts w:ascii="Arial" w:hAnsi="Arial" w:cs="Arial"/>
          <w:color w:val="000000"/>
          <w:sz w:val="20"/>
          <w:szCs w:val="20"/>
          <w:vertAlign w:val="superscript"/>
        </w:rPr>
        <w:t>®</w:t>
      </w:r>
      <w:r>
        <w:rPr>
          <w:rFonts w:ascii="Arial" w:hAnsi="Arial" w:cs="Arial"/>
          <w:color w:val="000000"/>
          <w:sz w:val="20"/>
          <w:szCs w:val="20"/>
        </w:rPr>
        <w:t xml:space="preserve">), n’a pas d’autorisation </w:t>
      </w:r>
      <w:r w:rsidR="00180BB3">
        <w:rPr>
          <w:rFonts w:ascii="Arial" w:hAnsi="Arial" w:cs="Arial"/>
          <w:color w:val="000000"/>
          <w:sz w:val="20"/>
          <w:szCs w:val="20"/>
        </w:rPr>
        <w:t xml:space="preserve">actuellement </w:t>
      </w:r>
      <w:r>
        <w:rPr>
          <w:rFonts w:ascii="Arial" w:hAnsi="Arial" w:cs="Arial"/>
          <w:color w:val="000000"/>
          <w:sz w:val="20"/>
          <w:szCs w:val="20"/>
        </w:rPr>
        <w:t>de mise sur le marché pérenne en Belgique.</w:t>
      </w:r>
    </w:p>
    <w:p w:rsidR="007932DB" w:rsidRDefault="006D63FB" w:rsidP="007932DB">
      <w:pPr>
        <w:pStyle w:val="NormalWeb"/>
        <w:jc w:val="both"/>
        <w:rPr>
          <w:rFonts w:ascii="Arial" w:hAnsi="Arial" w:cs="Arial"/>
          <w:color w:val="000000"/>
          <w:sz w:val="20"/>
          <w:szCs w:val="20"/>
        </w:rPr>
      </w:pPr>
      <w:r>
        <w:rPr>
          <w:rFonts w:ascii="Arial" w:hAnsi="Arial" w:cs="Arial"/>
          <w:color w:val="000000"/>
          <w:sz w:val="20"/>
          <w:szCs w:val="20"/>
        </w:rPr>
        <w:t xml:space="preserve">Afin de </w:t>
      </w:r>
      <w:r w:rsidR="007932DB">
        <w:rPr>
          <w:rFonts w:ascii="Arial" w:hAnsi="Arial" w:cs="Arial"/>
          <w:color w:val="000000"/>
          <w:sz w:val="20"/>
          <w:szCs w:val="20"/>
        </w:rPr>
        <w:t>maintenir le meilleur niveau de qualité possible pour le traitement des pa</w:t>
      </w:r>
      <w:r w:rsidR="007C7A31">
        <w:rPr>
          <w:rFonts w:ascii="Arial" w:hAnsi="Arial" w:cs="Arial"/>
          <w:color w:val="000000"/>
          <w:sz w:val="20"/>
          <w:szCs w:val="20"/>
        </w:rPr>
        <w:t>tients il est recommandé</w:t>
      </w:r>
    </w:p>
    <w:p w:rsidR="007932DB" w:rsidRDefault="007932DB" w:rsidP="007932DB">
      <w:pPr>
        <w:pStyle w:val="NormalWeb"/>
        <w:jc w:val="both"/>
        <w:rPr>
          <w:rFonts w:ascii="Arial" w:hAnsi="Arial" w:cs="Arial"/>
          <w:color w:val="000000"/>
          <w:sz w:val="20"/>
          <w:szCs w:val="20"/>
        </w:rPr>
      </w:pPr>
      <w:r>
        <w:rPr>
          <w:rStyle w:val="lev"/>
          <w:rFonts w:ascii="Arial" w:hAnsi="Arial" w:cs="Arial"/>
          <w:color w:val="000000"/>
          <w:sz w:val="20"/>
          <w:szCs w:val="20"/>
        </w:rPr>
        <w:t>Concernant le traitement par MMC</w:t>
      </w:r>
      <w:r>
        <w:rPr>
          <w:rFonts w:ascii="Arial" w:hAnsi="Arial" w:cs="Arial"/>
          <w:color w:val="000000"/>
          <w:sz w:val="20"/>
          <w:szCs w:val="20"/>
        </w:rPr>
        <w:t>, étant donné d’une part, la nécessité de prioriser le traitement de pathologies non urologiques pour lesquelles la MMC n’a pas d’alternative validée, et, d’autre part, l’alternative qu</w:t>
      </w:r>
      <w:r w:rsidR="007C7A31">
        <w:rPr>
          <w:rFonts w:ascii="Arial" w:hAnsi="Arial" w:cs="Arial"/>
          <w:color w:val="000000"/>
          <w:sz w:val="20"/>
          <w:szCs w:val="20"/>
        </w:rPr>
        <w:t>e constitue l’utilisation de l’</w:t>
      </w:r>
      <w:proofErr w:type="spellStart"/>
      <w:r w:rsidR="007C7A31">
        <w:rPr>
          <w:rFonts w:ascii="Arial" w:hAnsi="Arial" w:cs="Arial"/>
          <w:color w:val="000000"/>
          <w:sz w:val="20"/>
          <w:szCs w:val="20"/>
        </w:rPr>
        <w:t>E</w:t>
      </w:r>
      <w:r>
        <w:rPr>
          <w:rFonts w:ascii="Arial" w:hAnsi="Arial" w:cs="Arial"/>
          <w:color w:val="000000"/>
          <w:sz w:val="20"/>
          <w:szCs w:val="20"/>
        </w:rPr>
        <w:t>pirubicine</w:t>
      </w:r>
      <w:proofErr w:type="spellEnd"/>
      <w:r>
        <w:rPr>
          <w:rFonts w:ascii="Arial" w:hAnsi="Arial" w:cs="Arial"/>
          <w:color w:val="000000"/>
          <w:sz w:val="20"/>
          <w:szCs w:val="20"/>
        </w:rPr>
        <w:t>, validée scientifique</w:t>
      </w:r>
      <w:r w:rsidR="007C7A31">
        <w:rPr>
          <w:rFonts w:ascii="Arial" w:hAnsi="Arial" w:cs="Arial"/>
          <w:color w:val="000000"/>
          <w:sz w:val="20"/>
          <w:szCs w:val="20"/>
        </w:rPr>
        <w:t>ment et d’utilisation courante d</w:t>
      </w:r>
      <w:r>
        <w:rPr>
          <w:rFonts w:ascii="Arial" w:hAnsi="Arial" w:cs="Arial"/>
          <w:color w:val="000000"/>
          <w:sz w:val="20"/>
          <w:szCs w:val="20"/>
        </w:rPr>
        <w:t>ans</w:t>
      </w:r>
      <w:r w:rsidR="006D63FB">
        <w:rPr>
          <w:rFonts w:ascii="Arial" w:hAnsi="Arial" w:cs="Arial"/>
          <w:color w:val="000000"/>
          <w:sz w:val="20"/>
          <w:szCs w:val="20"/>
        </w:rPr>
        <w:t xml:space="preserve"> certains centres Belges</w:t>
      </w:r>
      <w:r>
        <w:rPr>
          <w:rFonts w:ascii="Arial" w:hAnsi="Arial" w:cs="Arial"/>
          <w:color w:val="000000"/>
          <w:sz w:val="20"/>
          <w:szCs w:val="20"/>
        </w:rPr>
        <w:t xml:space="preserve"> </w:t>
      </w:r>
      <w:r w:rsidR="006D63FB">
        <w:rPr>
          <w:rFonts w:ascii="Arial" w:hAnsi="Arial" w:cs="Arial"/>
          <w:color w:val="000000"/>
          <w:sz w:val="20"/>
          <w:szCs w:val="20"/>
        </w:rPr>
        <w:t xml:space="preserve">ou </w:t>
      </w:r>
      <w:r>
        <w:rPr>
          <w:rFonts w:ascii="Arial" w:hAnsi="Arial" w:cs="Arial"/>
          <w:color w:val="000000"/>
          <w:sz w:val="20"/>
          <w:szCs w:val="20"/>
        </w:rPr>
        <w:t xml:space="preserve">d’autres pays, </w:t>
      </w:r>
      <w:r w:rsidR="006D63FB">
        <w:rPr>
          <w:rFonts w:ascii="Arial" w:hAnsi="Arial" w:cs="Arial"/>
          <w:color w:val="000000"/>
          <w:sz w:val="20"/>
          <w:szCs w:val="20"/>
        </w:rPr>
        <w:t>il est recommandé</w:t>
      </w:r>
      <w:r>
        <w:rPr>
          <w:rFonts w:ascii="Arial" w:hAnsi="Arial" w:cs="Arial"/>
          <w:color w:val="000000"/>
          <w:sz w:val="20"/>
          <w:szCs w:val="20"/>
        </w:rPr>
        <w:t xml:space="preserve"> l’utilisation en 1</w:t>
      </w:r>
      <w:r>
        <w:rPr>
          <w:rFonts w:ascii="Arial" w:hAnsi="Arial" w:cs="Arial"/>
          <w:color w:val="000000"/>
          <w:sz w:val="20"/>
          <w:szCs w:val="20"/>
          <w:vertAlign w:val="superscript"/>
        </w:rPr>
        <w:t>ère</w:t>
      </w:r>
      <w:r w:rsidR="007C7A31">
        <w:rPr>
          <w:rFonts w:ascii="Arial" w:hAnsi="Arial" w:cs="Arial"/>
          <w:color w:val="000000"/>
          <w:sz w:val="20"/>
          <w:szCs w:val="20"/>
        </w:rPr>
        <w:t xml:space="preserve"> intention de l’</w:t>
      </w:r>
      <w:proofErr w:type="spellStart"/>
      <w:r w:rsidR="007C7A31">
        <w:rPr>
          <w:rFonts w:ascii="Arial" w:hAnsi="Arial" w:cs="Arial"/>
          <w:color w:val="000000"/>
          <w:sz w:val="20"/>
          <w:szCs w:val="20"/>
        </w:rPr>
        <w:t>E</w:t>
      </w:r>
      <w:r>
        <w:rPr>
          <w:rFonts w:ascii="Arial" w:hAnsi="Arial" w:cs="Arial"/>
          <w:color w:val="000000"/>
          <w:sz w:val="20"/>
          <w:szCs w:val="20"/>
        </w:rPr>
        <w:t>pirubicine</w:t>
      </w:r>
      <w:proofErr w:type="spellEnd"/>
      <w:r>
        <w:rPr>
          <w:rFonts w:ascii="Arial" w:hAnsi="Arial" w:cs="Arial"/>
          <w:color w:val="000000"/>
          <w:sz w:val="20"/>
          <w:szCs w:val="20"/>
        </w:rPr>
        <w:t xml:space="preserve"> en lieu et place de la MMC. C</w:t>
      </w:r>
      <w:r w:rsidR="007C7A31">
        <w:rPr>
          <w:rFonts w:ascii="Arial" w:hAnsi="Arial" w:cs="Arial"/>
          <w:color w:val="000000"/>
          <w:sz w:val="20"/>
          <w:szCs w:val="20"/>
        </w:rPr>
        <w:t>omme la MMC, l’efficacité de l’</w:t>
      </w:r>
      <w:proofErr w:type="spellStart"/>
      <w:r w:rsidR="007C7A31">
        <w:rPr>
          <w:rFonts w:ascii="Arial" w:hAnsi="Arial" w:cs="Arial"/>
          <w:color w:val="000000"/>
          <w:sz w:val="20"/>
          <w:szCs w:val="20"/>
        </w:rPr>
        <w:t>E</w:t>
      </w:r>
      <w:r>
        <w:rPr>
          <w:rFonts w:ascii="Arial" w:hAnsi="Arial" w:cs="Arial"/>
          <w:color w:val="000000"/>
          <w:sz w:val="20"/>
          <w:szCs w:val="20"/>
        </w:rPr>
        <w:t>pirubicine</w:t>
      </w:r>
      <w:proofErr w:type="spellEnd"/>
      <w:r>
        <w:rPr>
          <w:rFonts w:ascii="Arial" w:hAnsi="Arial" w:cs="Arial"/>
          <w:color w:val="000000"/>
          <w:sz w:val="20"/>
          <w:szCs w:val="20"/>
        </w:rPr>
        <w:t xml:space="preserve"> dépend de son mode d’utilisation et de sa concentration. Ainsi, les posologies recommandées sont :</w:t>
      </w:r>
    </w:p>
    <w:p w:rsidR="007932DB" w:rsidRDefault="007932DB" w:rsidP="007932D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Pour le traitement du carcinome papillaire à cellules transitionnelles de la vessie, une thérapie de 8 instillations (1 par semaine pendant 8 semaines) de 50 mg (dans 25 à 50 ml de solution saline) est recommandée ;</w:t>
      </w:r>
    </w:p>
    <w:p w:rsidR="007932DB" w:rsidRDefault="007932DB" w:rsidP="007932D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En cas de toxicité locale (cystite chimique), une réduction de dose allant jusqu'à 30 mg est recommandée ;</w:t>
      </w:r>
    </w:p>
    <w:p w:rsidR="007932DB" w:rsidRDefault="007932DB" w:rsidP="007932DB">
      <w:pPr>
        <w:numPr>
          <w:ilvl w:val="0"/>
          <w:numId w:val="1"/>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Pour les carcinomes in situ, en fonction de la tolérance individuelle du patient, la dose peut être augmentée jusqu'à 80 mg.</w:t>
      </w:r>
    </w:p>
    <w:p w:rsidR="007932DB" w:rsidRDefault="007932DB" w:rsidP="007932DB">
      <w:pPr>
        <w:pStyle w:val="NormalWeb"/>
        <w:jc w:val="both"/>
        <w:rPr>
          <w:rFonts w:ascii="Arial" w:hAnsi="Arial" w:cs="Arial"/>
          <w:color w:val="000000"/>
          <w:sz w:val="20"/>
          <w:szCs w:val="20"/>
        </w:rPr>
      </w:pPr>
      <w:r>
        <w:rPr>
          <w:rFonts w:ascii="Arial" w:hAnsi="Arial" w:cs="Arial"/>
          <w:color w:val="000000"/>
          <w:sz w:val="20"/>
          <w:szCs w:val="20"/>
        </w:rPr>
        <w:t>La préparation de la dose suit le même circuit que celui de la MMC avec une préparatio</w:t>
      </w:r>
      <w:r w:rsidR="006D63FB">
        <w:rPr>
          <w:rFonts w:ascii="Arial" w:hAnsi="Arial" w:cs="Arial"/>
          <w:color w:val="000000"/>
          <w:sz w:val="20"/>
          <w:szCs w:val="20"/>
        </w:rPr>
        <w:t>n par la pharmacie hospitalière et</w:t>
      </w:r>
      <w:r>
        <w:rPr>
          <w:rFonts w:ascii="Arial" w:hAnsi="Arial" w:cs="Arial"/>
          <w:color w:val="000000"/>
          <w:sz w:val="20"/>
          <w:szCs w:val="20"/>
        </w:rPr>
        <w:t xml:space="preserve"> une utilisation immédiate après préparation :</w:t>
      </w:r>
    </w:p>
    <w:p w:rsidR="007932DB" w:rsidRDefault="007932DB" w:rsidP="007932DB">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La stabilité physicochimique du produit dilué dans une solution de chlorure de sodium à 0,9 % a été démontrée pendant 60 minutes à une température ambiante ;</w:t>
      </w:r>
    </w:p>
    <w:p w:rsidR="007932DB" w:rsidRDefault="007932DB" w:rsidP="007932DB">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D'un point de vue microbiologique, en cas d'utilisation non immédiate, les durées et conditions de conservation après dilution et avant utilisation relèvent de la seule responsabilité de l'utilisateur et ne devraient pas dépasser 24 heures à une température comprise entre 2°C et 8°C</w:t>
      </w:r>
      <w:r>
        <w:rPr>
          <w:rFonts w:ascii="Arial" w:eastAsia="Times New Roman" w:hAnsi="Arial" w:cs="Arial"/>
          <w:color w:val="000000"/>
          <w:sz w:val="20"/>
          <w:szCs w:val="20"/>
          <w:vertAlign w:val="superscript"/>
        </w:rPr>
        <w:t>3</w:t>
      </w:r>
      <w:r>
        <w:rPr>
          <w:rFonts w:ascii="Arial" w:eastAsia="Times New Roman" w:hAnsi="Arial" w:cs="Arial"/>
          <w:color w:val="000000"/>
          <w:sz w:val="20"/>
          <w:szCs w:val="20"/>
        </w:rPr>
        <w:t>.</w:t>
      </w:r>
    </w:p>
    <w:p w:rsidR="007932DB" w:rsidRDefault="007932DB" w:rsidP="007932DB">
      <w:pPr>
        <w:pStyle w:val="NormalWeb"/>
        <w:jc w:val="both"/>
        <w:rPr>
          <w:rFonts w:ascii="Arial" w:hAnsi="Arial" w:cs="Arial"/>
          <w:color w:val="000000"/>
          <w:sz w:val="20"/>
          <w:szCs w:val="20"/>
        </w:rPr>
      </w:pPr>
      <w:r>
        <w:rPr>
          <w:rFonts w:ascii="Arial" w:hAnsi="Arial" w:cs="Arial"/>
          <w:color w:val="000000"/>
          <w:sz w:val="20"/>
          <w:szCs w:val="20"/>
        </w:rPr>
        <w:t>L’</w:t>
      </w:r>
      <w:proofErr w:type="spellStart"/>
      <w:r>
        <w:rPr>
          <w:rFonts w:ascii="Arial" w:hAnsi="Arial" w:cs="Arial"/>
          <w:color w:val="000000"/>
          <w:sz w:val="20"/>
          <w:szCs w:val="20"/>
        </w:rPr>
        <w:t>alcalinisaton</w:t>
      </w:r>
      <w:proofErr w:type="spellEnd"/>
      <w:r>
        <w:rPr>
          <w:rFonts w:ascii="Arial" w:hAnsi="Arial" w:cs="Arial"/>
          <w:color w:val="000000"/>
          <w:sz w:val="20"/>
          <w:szCs w:val="20"/>
        </w:rPr>
        <w:t xml:space="preserve"> urinaire préalable à l’instillation n’est pas nécessaire, la stabilité de l’</w:t>
      </w:r>
      <w:proofErr w:type="spellStart"/>
      <w:r>
        <w:rPr>
          <w:rFonts w:ascii="Arial" w:hAnsi="Arial" w:cs="Arial"/>
          <w:color w:val="000000"/>
          <w:sz w:val="20"/>
          <w:szCs w:val="20"/>
        </w:rPr>
        <w:t>épirubicine</w:t>
      </w:r>
      <w:proofErr w:type="spellEnd"/>
      <w:r w:rsidR="006D63FB">
        <w:rPr>
          <w:rFonts w:ascii="Arial" w:hAnsi="Arial" w:cs="Arial"/>
          <w:color w:val="000000"/>
          <w:sz w:val="20"/>
          <w:szCs w:val="20"/>
        </w:rPr>
        <w:t xml:space="preserve"> diminuant à pH basique. </w:t>
      </w:r>
      <w:r>
        <w:rPr>
          <w:rFonts w:ascii="Arial" w:hAnsi="Arial" w:cs="Arial"/>
          <w:color w:val="000000"/>
          <w:sz w:val="20"/>
          <w:szCs w:val="20"/>
        </w:rPr>
        <w:t>Le circuit d’élimination de l’</w:t>
      </w:r>
      <w:proofErr w:type="spellStart"/>
      <w:r>
        <w:rPr>
          <w:rFonts w:ascii="Arial" w:hAnsi="Arial" w:cs="Arial"/>
          <w:color w:val="000000"/>
          <w:sz w:val="20"/>
          <w:szCs w:val="20"/>
        </w:rPr>
        <w:t>épirubicine</w:t>
      </w:r>
      <w:proofErr w:type="spellEnd"/>
      <w:r>
        <w:rPr>
          <w:rFonts w:ascii="Arial" w:hAnsi="Arial" w:cs="Arial"/>
          <w:color w:val="000000"/>
          <w:sz w:val="20"/>
          <w:szCs w:val="20"/>
        </w:rPr>
        <w:t xml:space="preserve"> est le même que celui de la MMC avec l’application d’eau de Javel dans les WC pour neutraliser le produit et l’incinération à 1200°C du matériel.</w:t>
      </w:r>
    </w:p>
    <w:p w:rsidR="006D63FB" w:rsidRDefault="006D63FB" w:rsidP="007932DB">
      <w:pPr>
        <w:pStyle w:val="NormalWeb"/>
        <w:jc w:val="both"/>
        <w:rPr>
          <w:rStyle w:val="lev"/>
          <w:rFonts w:ascii="Arial" w:hAnsi="Arial" w:cs="Arial"/>
          <w:color w:val="000000"/>
          <w:sz w:val="20"/>
          <w:szCs w:val="20"/>
        </w:rPr>
      </w:pPr>
    </w:p>
    <w:p w:rsidR="006D63FB" w:rsidRDefault="006D63FB" w:rsidP="007932DB">
      <w:pPr>
        <w:pStyle w:val="NormalWeb"/>
        <w:jc w:val="both"/>
        <w:rPr>
          <w:rStyle w:val="lev"/>
          <w:rFonts w:ascii="Arial" w:hAnsi="Arial" w:cs="Arial"/>
          <w:color w:val="000000"/>
          <w:sz w:val="20"/>
          <w:szCs w:val="20"/>
        </w:rPr>
      </w:pPr>
    </w:p>
    <w:p w:rsidR="006D63FB" w:rsidRDefault="006D63FB" w:rsidP="007932DB">
      <w:pPr>
        <w:pStyle w:val="NormalWeb"/>
        <w:jc w:val="both"/>
        <w:rPr>
          <w:rStyle w:val="lev"/>
          <w:rFonts w:ascii="Arial" w:hAnsi="Arial" w:cs="Arial"/>
          <w:color w:val="000000"/>
          <w:sz w:val="20"/>
          <w:szCs w:val="20"/>
        </w:rPr>
      </w:pPr>
    </w:p>
    <w:p w:rsidR="007C7A31" w:rsidRDefault="007932DB" w:rsidP="007C7A31">
      <w:pPr>
        <w:pStyle w:val="NormalWeb"/>
        <w:jc w:val="both"/>
        <w:rPr>
          <w:b/>
          <w:bCs/>
          <w:sz w:val="20"/>
          <w:szCs w:val="20"/>
        </w:rPr>
      </w:pPr>
      <w:r>
        <w:rPr>
          <w:rStyle w:val="lev"/>
          <w:rFonts w:ascii="Arial" w:hAnsi="Arial" w:cs="Arial"/>
          <w:color w:val="000000"/>
          <w:sz w:val="20"/>
          <w:szCs w:val="20"/>
        </w:rPr>
        <w:lastRenderedPageBreak/>
        <w:t>Concernant le traitement par BCG</w:t>
      </w:r>
      <w:r w:rsidR="007C7A31" w:rsidRPr="007C7A31">
        <w:rPr>
          <w:b/>
          <w:bCs/>
          <w:sz w:val="20"/>
          <w:szCs w:val="20"/>
        </w:rPr>
        <w:t xml:space="preserve"> </w:t>
      </w:r>
    </w:p>
    <w:p w:rsidR="007932DB" w:rsidRDefault="007C7A31" w:rsidP="007932DB">
      <w:pPr>
        <w:pStyle w:val="NormalWeb"/>
        <w:jc w:val="both"/>
        <w:rPr>
          <w:rFonts w:ascii="Arial" w:hAnsi="Arial" w:cs="Arial"/>
          <w:color w:val="000000"/>
          <w:sz w:val="20"/>
          <w:szCs w:val="20"/>
        </w:rPr>
      </w:pPr>
      <w:r>
        <w:rPr>
          <w:b/>
          <w:bCs/>
          <w:sz w:val="20"/>
          <w:szCs w:val="20"/>
        </w:rPr>
        <w:t xml:space="preserve">Réserver le traitement par BCG aux patients dont le traitement est le plus urgent. </w:t>
      </w:r>
      <w:r>
        <w:rPr>
          <w:sz w:val="20"/>
          <w:szCs w:val="20"/>
        </w:rPr>
        <w:t xml:space="preserve">Les facteurs de pronostic défavorable sont </w:t>
      </w:r>
      <w:r>
        <w:rPr>
          <w:i/>
          <w:iCs/>
          <w:sz w:val="20"/>
          <w:szCs w:val="20"/>
        </w:rPr>
        <w:t xml:space="preserve">: </w:t>
      </w:r>
      <w:r>
        <w:rPr>
          <w:sz w:val="20"/>
          <w:szCs w:val="20"/>
        </w:rPr>
        <w:t xml:space="preserve">présence de carcinome in-situ (CIS), stade, grade, </w:t>
      </w:r>
      <w:proofErr w:type="spellStart"/>
      <w:r>
        <w:rPr>
          <w:sz w:val="20"/>
          <w:szCs w:val="20"/>
        </w:rPr>
        <w:t>multifocalité</w:t>
      </w:r>
      <w:proofErr w:type="spellEnd"/>
      <w:r>
        <w:rPr>
          <w:sz w:val="20"/>
          <w:szCs w:val="20"/>
        </w:rPr>
        <w:t>, taille des lésions, nombre de récidive</w:t>
      </w:r>
      <w:r w:rsidR="00EC6125">
        <w:rPr>
          <w:sz w:val="20"/>
          <w:szCs w:val="20"/>
        </w:rPr>
        <w:t>s</w:t>
      </w:r>
      <w:r>
        <w:rPr>
          <w:sz w:val="20"/>
          <w:szCs w:val="20"/>
        </w:rPr>
        <w:t xml:space="preserve"> antérieure</w:t>
      </w:r>
      <w:r w:rsidR="00EC6125">
        <w:rPr>
          <w:sz w:val="20"/>
          <w:szCs w:val="20"/>
        </w:rPr>
        <w:t>s</w:t>
      </w:r>
      <w:r>
        <w:rPr>
          <w:sz w:val="20"/>
          <w:szCs w:val="20"/>
        </w:rPr>
        <w:t xml:space="preserve"> et alternatives possibles (cystectomie, traitement </w:t>
      </w:r>
      <w:proofErr w:type="spellStart"/>
      <w:r>
        <w:rPr>
          <w:sz w:val="20"/>
          <w:szCs w:val="20"/>
        </w:rPr>
        <w:t>trimodal</w:t>
      </w:r>
      <w:proofErr w:type="spellEnd"/>
      <w:r>
        <w:rPr>
          <w:sz w:val="20"/>
          <w:szCs w:val="20"/>
        </w:rPr>
        <w:t xml:space="preserve">...). Les critères d’attribution de la BCG thérapie ont été définis par le CCAFU sous forme de score. </w:t>
      </w:r>
      <w:r>
        <w:rPr>
          <w:rFonts w:ascii="Arial" w:hAnsi="Arial" w:cs="Arial"/>
          <w:color w:val="000000"/>
          <w:sz w:val="20"/>
          <w:szCs w:val="20"/>
        </w:rPr>
        <w:t>, l’AFU a  proposé un score afin de guider la décision d’attribution des doses disponibles en situation de pénurie. Ce score est basé sur les critères pronostiques validés dans les scores EORTC</w:t>
      </w:r>
      <w:r>
        <w:rPr>
          <w:rFonts w:ascii="Arial" w:hAnsi="Arial" w:cs="Arial"/>
          <w:color w:val="000000"/>
          <w:sz w:val="20"/>
          <w:szCs w:val="20"/>
          <w:vertAlign w:val="superscript"/>
        </w:rPr>
        <w:t>1</w:t>
      </w:r>
      <w:r>
        <w:rPr>
          <w:rFonts w:ascii="Arial" w:hAnsi="Arial" w:cs="Arial"/>
          <w:color w:val="000000"/>
          <w:sz w:val="20"/>
          <w:szCs w:val="20"/>
        </w:rPr>
        <w:t xml:space="preserve"> et CUETO</w:t>
      </w:r>
      <w:r>
        <w:rPr>
          <w:rFonts w:ascii="Arial" w:hAnsi="Arial" w:cs="Arial"/>
          <w:color w:val="000000"/>
          <w:sz w:val="20"/>
          <w:szCs w:val="20"/>
          <w:vertAlign w:val="superscript"/>
        </w:rPr>
        <w:t>2</w:t>
      </w:r>
      <w:r>
        <w:rPr>
          <w:rFonts w:ascii="Arial" w:hAnsi="Arial" w:cs="Arial"/>
          <w:color w:val="000000"/>
          <w:sz w:val="20"/>
          <w:szCs w:val="20"/>
        </w:rPr>
        <w:t>, et prend en compte les possibilités d’alternatives thérapeutiques et intégrant les impératifs d’utilisation du BCG liés à l’inclusion des patients dans un essai clinique.</w:t>
      </w:r>
    </w:p>
    <w:tbl>
      <w:tblPr>
        <w:tblW w:w="8595" w:type="dxa"/>
        <w:tblCellSpacing w:w="7"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613"/>
        <w:gridCol w:w="1982"/>
      </w:tblGrid>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Titre3"/>
              <w:rPr>
                <w:rFonts w:ascii="Arial" w:eastAsia="Times New Roman" w:hAnsi="Arial" w:cs="Arial"/>
                <w:color w:val="000000"/>
                <w:sz w:val="20"/>
                <w:szCs w:val="20"/>
              </w:rPr>
            </w:pPr>
            <w:r>
              <w:rPr>
                <w:rStyle w:val="lev"/>
                <w:rFonts w:ascii="Arial" w:eastAsia="Times New Roman" w:hAnsi="Arial" w:cs="Arial"/>
                <w:b/>
                <w:bCs/>
                <w:color w:val="2980B9"/>
                <w:sz w:val="20"/>
                <w:szCs w:val="20"/>
              </w:rPr>
              <w:t>Critères d'attribution de la BCG thérapie</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Titre3"/>
              <w:rPr>
                <w:rFonts w:ascii="Arial" w:eastAsia="Times New Roman" w:hAnsi="Arial" w:cs="Arial"/>
                <w:color w:val="000000"/>
                <w:sz w:val="20"/>
                <w:szCs w:val="20"/>
              </w:rPr>
            </w:pPr>
            <w:r>
              <w:rPr>
                <w:rStyle w:val="lev"/>
                <w:rFonts w:ascii="Arial" w:eastAsia="Times New Roman" w:hAnsi="Arial" w:cs="Arial"/>
                <w:b/>
                <w:bCs/>
                <w:color w:val="2980B9"/>
                <w:sz w:val="20"/>
                <w:szCs w:val="20"/>
              </w:rPr>
              <w:t>Nombre de points</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Présence de carcinome in situ (CIS)</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6</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Haut Grade / Grade 3</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5</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Stade T1</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4</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Plus de 8 tumeurs</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3</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Dimension tumorale ≥ 3 cm</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3</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Récidive tumorale dans un délai de moins d’un an</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2</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Âge ≥ 70 ans</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2</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Patient inéligible pour un traitement radical (chirurgie / radio-chimiothérapie)</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4</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Accès impossible à la thermo-chimiothérapie</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1</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Part</w:t>
            </w:r>
            <w:r w:rsidR="006D63FB">
              <w:rPr>
                <w:rFonts w:ascii="Arial" w:hAnsi="Arial" w:cs="Arial"/>
                <w:color w:val="000000"/>
                <w:sz w:val="20"/>
                <w:szCs w:val="20"/>
              </w:rPr>
              <w:t>icipation du patient à un essai</w:t>
            </w:r>
            <w:r>
              <w:rPr>
                <w:rFonts w:ascii="Arial" w:hAnsi="Arial" w:cs="Arial"/>
                <w:color w:val="000000"/>
                <w:sz w:val="20"/>
                <w:szCs w:val="20"/>
              </w:rPr>
              <w:t xml:space="preserve"> clinique imposant le BCG</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4</w:t>
            </w:r>
          </w:p>
        </w:tc>
      </w:tr>
      <w:tr w:rsidR="007932DB" w:rsidTr="007932DB">
        <w:trPr>
          <w:tblCellSpacing w:w="7" w:type="dxa"/>
        </w:trPr>
        <w:tc>
          <w:tcPr>
            <w:tcW w:w="64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Style w:val="lev"/>
                <w:rFonts w:ascii="Arial" w:hAnsi="Arial" w:cs="Arial"/>
                <w:color w:val="000000"/>
                <w:sz w:val="20"/>
                <w:szCs w:val="20"/>
              </w:rPr>
              <w:t>TOTAL sur 34</w:t>
            </w:r>
          </w:p>
        </w:tc>
        <w:tc>
          <w:tcPr>
            <w:tcW w:w="1905" w:type="dxa"/>
            <w:tcBorders>
              <w:top w:val="outset" w:sz="6" w:space="0" w:color="auto"/>
              <w:left w:val="outset" w:sz="6" w:space="0" w:color="auto"/>
              <w:bottom w:val="outset" w:sz="6" w:space="0" w:color="auto"/>
              <w:right w:val="outset" w:sz="6" w:space="0" w:color="auto"/>
            </w:tcBorders>
            <w:vAlign w:val="center"/>
            <w:hideMark/>
          </w:tcPr>
          <w:p w:rsidR="007932DB" w:rsidRDefault="007932DB">
            <w:pPr>
              <w:pStyle w:val="NormalWeb"/>
              <w:rPr>
                <w:rFonts w:ascii="Arial" w:hAnsi="Arial" w:cs="Arial"/>
                <w:color w:val="000000"/>
                <w:sz w:val="20"/>
                <w:szCs w:val="20"/>
              </w:rPr>
            </w:pPr>
            <w:r>
              <w:rPr>
                <w:rFonts w:ascii="Arial" w:hAnsi="Arial" w:cs="Arial"/>
                <w:color w:val="000000"/>
                <w:sz w:val="20"/>
                <w:szCs w:val="20"/>
              </w:rPr>
              <w:t> </w:t>
            </w:r>
          </w:p>
        </w:tc>
      </w:tr>
    </w:tbl>
    <w:p w:rsidR="007C7A31" w:rsidRDefault="007932DB" w:rsidP="007C7A31">
      <w:pPr>
        <w:pStyle w:val="Default"/>
      </w:pPr>
      <w:r>
        <w:rPr>
          <w:sz w:val="20"/>
          <w:szCs w:val="20"/>
        </w:rPr>
        <w:t>.</w:t>
      </w:r>
      <w:r w:rsidR="007C7A31" w:rsidRPr="007C7A31">
        <w:t xml:space="preserve"> </w:t>
      </w:r>
    </w:p>
    <w:p w:rsidR="007932DB" w:rsidRPr="007C7A31" w:rsidRDefault="007932DB" w:rsidP="007C7A31">
      <w:pPr>
        <w:pStyle w:val="Default"/>
      </w:pPr>
      <w:r>
        <w:rPr>
          <w:sz w:val="20"/>
          <w:szCs w:val="20"/>
        </w:rPr>
        <w:br/>
        <w:t>Ce score permet d’adapter les recommandations concernant les indications de la BCG thérapie et de ses alternatives, sachant que :</w:t>
      </w:r>
    </w:p>
    <w:p w:rsidR="007932DB" w:rsidRDefault="007932DB" w:rsidP="007932DB">
      <w:pPr>
        <w:numPr>
          <w:ilvl w:val="0"/>
          <w:numId w:val="3"/>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La réalisation du traitement d’entretien par BCG (6 instillations d’induction + 3 instillations hebdomadaires à 3, 6, 12, 18, 24, 30 et 36 mois) a été associée à une réduction de 32% du risque de progression des TVNIM.</w:t>
      </w:r>
    </w:p>
    <w:p w:rsidR="007932DB" w:rsidRDefault="007932DB" w:rsidP="007932DB">
      <w:pPr>
        <w:numPr>
          <w:ilvl w:val="0"/>
          <w:numId w:val="3"/>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Inversement, lorsque seul le traitement d’induction par BCG a été réalisé, le traitement a été associé à une augmentation de 28% du risque de récidive comparativement au traitement par chimiothérapie endovésicale.</w:t>
      </w:r>
    </w:p>
    <w:p w:rsidR="007932DB" w:rsidRDefault="007932DB" w:rsidP="007932DB">
      <w:pPr>
        <w:numPr>
          <w:ilvl w:val="0"/>
          <w:numId w:val="3"/>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La chimiothérapie endovésicale avec entreti</w:t>
      </w:r>
      <w:r w:rsidR="00EC6125">
        <w:rPr>
          <w:rFonts w:ascii="Arial" w:eastAsia="Times New Roman" w:hAnsi="Arial" w:cs="Arial"/>
          <w:color w:val="000000"/>
          <w:sz w:val="20"/>
          <w:szCs w:val="20"/>
        </w:rPr>
        <w:t>en (8 instillations d’induction</w:t>
      </w:r>
      <w:r>
        <w:rPr>
          <w:rFonts w:ascii="Arial" w:eastAsia="Times New Roman" w:hAnsi="Arial" w:cs="Arial"/>
          <w:color w:val="000000"/>
          <w:sz w:val="20"/>
          <w:szCs w:val="20"/>
        </w:rPr>
        <w:t xml:space="preserve"> suivies d’une instillation mensuelle pendant 1 an) réduit le risque de récidive de 30% par rapport aux instillations de BCG sans entretien.</w:t>
      </w:r>
    </w:p>
    <w:p w:rsidR="007932DB" w:rsidRDefault="007932DB" w:rsidP="007932DB">
      <w:pPr>
        <w:numPr>
          <w:ilvl w:val="0"/>
          <w:numId w:val="3"/>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Les TVNIM combinant l’ensemble des facteurs de risque (pT1 de haut grade avec CIS), des tumeurs avec envahissement </w:t>
      </w:r>
      <w:proofErr w:type="spellStart"/>
      <w:r>
        <w:rPr>
          <w:rFonts w:ascii="Arial" w:eastAsia="Times New Roman" w:hAnsi="Arial" w:cs="Arial"/>
          <w:color w:val="000000"/>
          <w:sz w:val="20"/>
          <w:szCs w:val="20"/>
        </w:rPr>
        <w:t>lymphovasculaire</w:t>
      </w:r>
      <w:proofErr w:type="spellEnd"/>
      <w:r>
        <w:rPr>
          <w:rFonts w:ascii="Arial" w:eastAsia="Times New Roman" w:hAnsi="Arial" w:cs="Arial"/>
          <w:color w:val="000000"/>
          <w:sz w:val="20"/>
          <w:szCs w:val="20"/>
        </w:rPr>
        <w:t xml:space="preserve"> et des tumeurs non </w:t>
      </w:r>
      <w:proofErr w:type="spellStart"/>
      <w:r>
        <w:rPr>
          <w:rFonts w:ascii="Arial" w:eastAsia="Times New Roman" w:hAnsi="Arial" w:cs="Arial"/>
          <w:color w:val="000000"/>
          <w:sz w:val="20"/>
          <w:szCs w:val="20"/>
        </w:rPr>
        <w:t>urothéliales</w:t>
      </w:r>
      <w:proofErr w:type="spellEnd"/>
      <w:r>
        <w:rPr>
          <w:rFonts w:ascii="Arial" w:eastAsia="Times New Roman" w:hAnsi="Arial" w:cs="Arial"/>
          <w:color w:val="000000"/>
          <w:sz w:val="20"/>
          <w:szCs w:val="20"/>
        </w:rPr>
        <w:t xml:space="preserve"> ou présentant des formes anatomopathologiques agressives ont un risque de progression très élevé et précoce, soit parce que la probabilité d’éradication complète avant traitement est faible, soit parce qu’elles sont très agressives, qu’elles présentent un risque d’échec du traitement </w:t>
      </w:r>
      <w:proofErr w:type="spellStart"/>
      <w:r>
        <w:rPr>
          <w:rFonts w:ascii="Arial" w:eastAsia="Times New Roman" w:hAnsi="Arial" w:cs="Arial"/>
          <w:color w:val="000000"/>
          <w:sz w:val="20"/>
          <w:szCs w:val="20"/>
        </w:rPr>
        <w:t>endovésical</w:t>
      </w:r>
      <w:proofErr w:type="spellEnd"/>
      <w:r>
        <w:rPr>
          <w:rFonts w:ascii="Arial" w:eastAsia="Times New Roman" w:hAnsi="Arial" w:cs="Arial"/>
          <w:color w:val="000000"/>
          <w:sz w:val="20"/>
          <w:szCs w:val="20"/>
        </w:rPr>
        <w:t xml:space="preserve"> élevé ou qu’il existe un risque d’envahissement ganglionnaire dès le stade pT1. La cystectomie de première intention peut être proposée pour les traiter après avoir discuté de la morbidité de l’intervention avec le patient.</w:t>
      </w:r>
    </w:p>
    <w:p w:rsidR="007932DB" w:rsidRDefault="007932DB" w:rsidP="007932DB">
      <w:pPr>
        <w:pStyle w:val="NormalWeb"/>
        <w:jc w:val="both"/>
        <w:rPr>
          <w:rFonts w:ascii="Arial" w:hAnsi="Arial" w:cs="Arial"/>
          <w:color w:val="000000"/>
          <w:sz w:val="20"/>
          <w:szCs w:val="20"/>
        </w:rPr>
      </w:pPr>
      <w:r>
        <w:rPr>
          <w:rFonts w:ascii="Arial" w:hAnsi="Arial" w:cs="Arial"/>
          <w:color w:val="000000"/>
          <w:sz w:val="20"/>
          <w:szCs w:val="20"/>
        </w:rPr>
        <w:t>Ainsi, pour les patients classés par ce score comme étant prioritaires pour l’attribution du BCG, le traitement doit comprendre les 6 instillations d’induction et, de principe, les instillations d’entretien.</w:t>
      </w:r>
      <w:r>
        <w:rPr>
          <w:rFonts w:ascii="Arial" w:hAnsi="Arial" w:cs="Arial"/>
          <w:color w:val="000000"/>
          <w:sz w:val="20"/>
          <w:szCs w:val="20"/>
        </w:rPr>
        <w:br/>
        <w:t xml:space="preserve">Pour les patients qui ne pourraient pas recevoir de BCG à cause de la pénurie, le traitement radical (cystectomie totale ou radio-chimiothérapie) doit être proposé en cas de score élevé. Inversement, pour les patients ayant un score faible, la chimiothérapie endovésicale par </w:t>
      </w:r>
      <w:proofErr w:type="spellStart"/>
      <w:r>
        <w:rPr>
          <w:rFonts w:ascii="Arial" w:hAnsi="Arial" w:cs="Arial"/>
          <w:color w:val="000000"/>
          <w:sz w:val="20"/>
          <w:szCs w:val="20"/>
        </w:rPr>
        <w:t>épirubicine</w:t>
      </w:r>
      <w:proofErr w:type="spellEnd"/>
      <w:r>
        <w:rPr>
          <w:rFonts w:ascii="Arial" w:hAnsi="Arial" w:cs="Arial"/>
          <w:color w:val="000000"/>
          <w:sz w:val="20"/>
          <w:szCs w:val="20"/>
        </w:rPr>
        <w:t xml:space="preserve"> et la thermo-</w:t>
      </w:r>
      <w:r>
        <w:rPr>
          <w:rFonts w:ascii="Arial" w:hAnsi="Arial" w:cs="Arial"/>
          <w:color w:val="000000"/>
          <w:sz w:val="20"/>
          <w:szCs w:val="20"/>
        </w:rPr>
        <w:lastRenderedPageBreak/>
        <w:t>chimiothérapie peuvent être proposées en association à une surveillance endoscopique et cytologique selon, a minima, le rythme tri</w:t>
      </w:r>
      <w:r w:rsidR="00304C0C">
        <w:rPr>
          <w:rFonts w:ascii="Arial" w:hAnsi="Arial" w:cs="Arial"/>
          <w:color w:val="000000"/>
          <w:sz w:val="20"/>
          <w:szCs w:val="20"/>
        </w:rPr>
        <w:t>mestriel recommandé</w:t>
      </w:r>
      <w:r>
        <w:rPr>
          <w:rFonts w:ascii="Arial" w:hAnsi="Arial" w:cs="Arial"/>
          <w:color w:val="000000"/>
          <w:sz w:val="20"/>
          <w:szCs w:val="20"/>
        </w:rPr>
        <w:t>.</w:t>
      </w:r>
    </w:p>
    <w:p w:rsidR="007932DB" w:rsidRDefault="00304C0C" w:rsidP="007932DB">
      <w:pPr>
        <w:pStyle w:val="NormalWeb"/>
        <w:jc w:val="both"/>
        <w:rPr>
          <w:rFonts w:ascii="Arial" w:hAnsi="Arial" w:cs="Arial"/>
          <w:color w:val="000000"/>
          <w:sz w:val="20"/>
          <w:szCs w:val="20"/>
        </w:rPr>
      </w:pPr>
      <w:r>
        <w:rPr>
          <w:rFonts w:ascii="Arial" w:hAnsi="Arial" w:cs="Arial"/>
          <w:color w:val="000000"/>
          <w:sz w:val="20"/>
          <w:szCs w:val="20"/>
        </w:rPr>
        <w:t>L</w:t>
      </w:r>
      <w:r w:rsidR="007932DB">
        <w:rPr>
          <w:rFonts w:ascii="Arial" w:hAnsi="Arial" w:cs="Arial"/>
          <w:color w:val="000000"/>
          <w:sz w:val="20"/>
          <w:szCs w:val="20"/>
        </w:rPr>
        <w:t xml:space="preserve">e traitement des tumeurs de vessie n’infiltrant pas le muscle repose sur leur résection endoscopique complète. Elle doit impérativement permettre l’analyse du </w:t>
      </w:r>
      <w:proofErr w:type="spellStart"/>
      <w:r w:rsidR="007932DB">
        <w:rPr>
          <w:rFonts w:ascii="Arial" w:hAnsi="Arial" w:cs="Arial"/>
          <w:color w:val="000000"/>
          <w:sz w:val="20"/>
          <w:szCs w:val="20"/>
        </w:rPr>
        <w:t>détrusor</w:t>
      </w:r>
      <w:proofErr w:type="spellEnd"/>
      <w:r w:rsidR="007932DB">
        <w:rPr>
          <w:rFonts w:ascii="Arial" w:hAnsi="Arial" w:cs="Arial"/>
          <w:color w:val="000000"/>
          <w:sz w:val="20"/>
          <w:szCs w:val="20"/>
        </w:rPr>
        <w:t xml:space="preserve"> pour définir le stade anatomopathologique. Lorsque la certitude du caractère complet de la résection n’est pas acquise en fin d’intervention et/ou que l’analyse anatomopathologique ne permet pas de définir l’atteinte du </w:t>
      </w:r>
      <w:proofErr w:type="spellStart"/>
      <w:r w:rsidR="007932DB">
        <w:rPr>
          <w:rFonts w:ascii="Arial" w:hAnsi="Arial" w:cs="Arial"/>
          <w:color w:val="000000"/>
          <w:sz w:val="20"/>
          <w:szCs w:val="20"/>
        </w:rPr>
        <w:t>détrusor</w:t>
      </w:r>
      <w:proofErr w:type="spellEnd"/>
      <w:r w:rsidR="007932DB">
        <w:rPr>
          <w:rFonts w:ascii="Arial" w:hAnsi="Arial" w:cs="Arial"/>
          <w:color w:val="000000"/>
          <w:sz w:val="20"/>
          <w:szCs w:val="20"/>
        </w:rPr>
        <w:t xml:space="preserve"> et/ou que le stade tumoral est pT1 (infiltration du chorion), une résection dite de </w:t>
      </w:r>
      <w:r w:rsidR="001E786A">
        <w:rPr>
          <w:rFonts w:ascii="Arial" w:hAnsi="Arial" w:cs="Arial"/>
          <w:color w:val="000000"/>
          <w:sz w:val="20"/>
          <w:szCs w:val="20"/>
        </w:rPr>
        <w:t>« </w:t>
      </w:r>
      <w:r w:rsidR="007932DB">
        <w:rPr>
          <w:rFonts w:ascii="Arial" w:hAnsi="Arial" w:cs="Arial"/>
          <w:color w:val="000000"/>
          <w:sz w:val="20"/>
          <w:szCs w:val="20"/>
        </w:rPr>
        <w:t>2nd look</w:t>
      </w:r>
      <w:r w:rsidR="001E786A">
        <w:rPr>
          <w:rFonts w:ascii="Arial" w:hAnsi="Arial" w:cs="Arial"/>
          <w:color w:val="000000"/>
          <w:sz w:val="20"/>
          <w:szCs w:val="20"/>
        </w:rPr>
        <w:t> »</w:t>
      </w:r>
      <w:r w:rsidR="007932DB">
        <w:rPr>
          <w:rFonts w:ascii="Arial" w:hAnsi="Arial" w:cs="Arial"/>
          <w:color w:val="000000"/>
          <w:sz w:val="20"/>
          <w:szCs w:val="20"/>
        </w:rPr>
        <w:t xml:space="preserve"> est recommandée et ce d’autant que nous connaissons une situation de pénurie de traitements adjuvants.</w:t>
      </w:r>
    </w:p>
    <w:p w:rsidR="007932DB" w:rsidRDefault="007932DB" w:rsidP="007932DB">
      <w:pPr>
        <w:pStyle w:val="NormalWeb"/>
        <w:jc w:val="both"/>
        <w:rPr>
          <w:rFonts w:ascii="Arial" w:hAnsi="Arial" w:cs="Arial"/>
          <w:color w:val="000000"/>
          <w:sz w:val="20"/>
          <w:szCs w:val="20"/>
        </w:rPr>
      </w:pPr>
      <w:r>
        <w:rPr>
          <w:rFonts w:ascii="Arial" w:hAnsi="Arial" w:cs="Arial"/>
          <w:color w:val="000000"/>
          <w:sz w:val="20"/>
          <w:szCs w:val="20"/>
        </w:rPr>
        <w:t> </w:t>
      </w:r>
      <w:bookmarkStart w:id="0" w:name="_GoBack"/>
      <w:bookmarkEnd w:id="0"/>
    </w:p>
    <w:p w:rsidR="007932DB" w:rsidRDefault="007932DB" w:rsidP="007932DB">
      <w:pPr>
        <w:pStyle w:val="NormalWeb"/>
        <w:jc w:val="both"/>
        <w:rPr>
          <w:rFonts w:ascii="Arial" w:hAnsi="Arial" w:cs="Arial"/>
          <w:color w:val="000000"/>
          <w:sz w:val="20"/>
          <w:szCs w:val="20"/>
        </w:rPr>
      </w:pPr>
      <w:r>
        <w:rPr>
          <w:rStyle w:val="lev"/>
          <w:rFonts w:ascii="Arial" w:hAnsi="Arial" w:cs="Arial"/>
          <w:color w:val="000000"/>
          <w:sz w:val="20"/>
          <w:szCs w:val="20"/>
        </w:rPr>
        <w:t>Références</w:t>
      </w:r>
    </w:p>
    <w:p w:rsidR="007932DB" w:rsidRDefault="007932DB" w:rsidP="007932DB">
      <w:pPr>
        <w:numPr>
          <w:ilvl w:val="0"/>
          <w:numId w:val="4"/>
        </w:numPr>
        <w:spacing w:before="100" w:beforeAutospacing="1" w:after="100" w:afterAutospacing="1"/>
        <w:jc w:val="both"/>
        <w:rPr>
          <w:rFonts w:ascii="Arial" w:eastAsia="Times New Roman" w:hAnsi="Arial" w:cs="Arial"/>
          <w:color w:val="000000"/>
          <w:sz w:val="20"/>
          <w:szCs w:val="20"/>
        </w:rPr>
      </w:pPr>
      <w:r w:rsidRPr="00EC6125">
        <w:rPr>
          <w:rFonts w:ascii="Arial" w:eastAsia="Times New Roman" w:hAnsi="Arial" w:cs="Arial"/>
          <w:color w:val="000000"/>
          <w:sz w:val="20"/>
          <w:szCs w:val="20"/>
          <w:lang w:val="en-US"/>
        </w:rPr>
        <w:t xml:space="preserve">Sylvester RJ, van der </w:t>
      </w:r>
      <w:proofErr w:type="spellStart"/>
      <w:r w:rsidRPr="00EC6125">
        <w:rPr>
          <w:rFonts w:ascii="Arial" w:eastAsia="Times New Roman" w:hAnsi="Arial" w:cs="Arial"/>
          <w:color w:val="000000"/>
          <w:sz w:val="20"/>
          <w:szCs w:val="20"/>
          <w:lang w:val="en-US"/>
        </w:rPr>
        <w:t>Meijden</w:t>
      </w:r>
      <w:proofErr w:type="spellEnd"/>
      <w:r w:rsidRPr="00EC6125">
        <w:rPr>
          <w:rFonts w:ascii="Arial" w:eastAsia="Times New Roman" w:hAnsi="Arial" w:cs="Arial"/>
          <w:color w:val="000000"/>
          <w:sz w:val="20"/>
          <w:szCs w:val="20"/>
          <w:lang w:val="en-US"/>
        </w:rPr>
        <w:t xml:space="preserve"> AP, </w:t>
      </w:r>
      <w:proofErr w:type="spellStart"/>
      <w:r w:rsidRPr="00EC6125">
        <w:rPr>
          <w:rFonts w:ascii="Arial" w:eastAsia="Times New Roman" w:hAnsi="Arial" w:cs="Arial"/>
          <w:color w:val="000000"/>
          <w:sz w:val="20"/>
          <w:szCs w:val="20"/>
          <w:lang w:val="en-US"/>
        </w:rPr>
        <w:t>Oosterlinck</w:t>
      </w:r>
      <w:proofErr w:type="spellEnd"/>
      <w:r w:rsidRPr="00EC6125">
        <w:rPr>
          <w:rFonts w:ascii="Arial" w:eastAsia="Times New Roman" w:hAnsi="Arial" w:cs="Arial"/>
          <w:color w:val="000000"/>
          <w:sz w:val="20"/>
          <w:szCs w:val="20"/>
          <w:lang w:val="en-US"/>
        </w:rPr>
        <w:t xml:space="preserve"> W, et al. Predicting recurrence and progression in individual patients with stage Ta T1 bladder cancer using EORTC risk tables: a combined analysis of 2596 patients from seven EORTC trials. </w:t>
      </w:r>
      <w:proofErr w:type="spellStart"/>
      <w:r>
        <w:rPr>
          <w:rFonts w:ascii="Arial" w:eastAsia="Times New Roman" w:hAnsi="Arial" w:cs="Arial"/>
          <w:color w:val="000000"/>
          <w:sz w:val="20"/>
          <w:szCs w:val="20"/>
        </w:rPr>
        <w:t>Eur</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Urol</w:t>
      </w:r>
      <w:proofErr w:type="spellEnd"/>
      <w:r>
        <w:rPr>
          <w:rFonts w:ascii="Arial" w:eastAsia="Times New Roman" w:hAnsi="Arial" w:cs="Arial"/>
          <w:color w:val="000000"/>
          <w:sz w:val="20"/>
          <w:szCs w:val="20"/>
        </w:rPr>
        <w:t>. 2006;49(3):466–477.</w:t>
      </w:r>
    </w:p>
    <w:p w:rsidR="007932DB" w:rsidRDefault="007932DB" w:rsidP="007932DB">
      <w:pPr>
        <w:numPr>
          <w:ilvl w:val="0"/>
          <w:numId w:val="4"/>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 xml:space="preserve">Fernandez-Gomez J, Madero R, Solsona E, et al. </w:t>
      </w:r>
      <w:r w:rsidRPr="00EC6125">
        <w:rPr>
          <w:rFonts w:ascii="Arial" w:eastAsia="Times New Roman" w:hAnsi="Arial" w:cs="Arial"/>
          <w:color w:val="000000"/>
          <w:sz w:val="20"/>
          <w:szCs w:val="20"/>
          <w:lang w:val="en-US"/>
        </w:rPr>
        <w:t xml:space="preserve">Predicting </w:t>
      </w:r>
      <w:proofErr w:type="spellStart"/>
      <w:r w:rsidRPr="00EC6125">
        <w:rPr>
          <w:rFonts w:ascii="Arial" w:eastAsia="Times New Roman" w:hAnsi="Arial" w:cs="Arial"/>
          <w:color w:val="000000"/>
          <w:sz w:val="20"/>
          <w:szCs w:val="20"/>
          <w:lang w:val="en-US"/>
        </w:rPr>
        <w:t>nonmuscle</w:t>
      </w:r>
      <w:proofErr w:type="spellEnd"/>
      <w:r w:rsidRPr="00EC6125">
        <w:rPr>
          <w:rFonts w:ascii="Arial" w:eastAsia="Times New Roman" w:hAnsi="Arial" w:cs="Arial"/>
          <w:color w:val="000000"/>
          <w:sz w:val="20"/>
          <w:szCs w:val="20"/>
          <w:lang w:val="en-US"/>
        </w:rPr>
        <w:t xml:space="preserve"> invasive bladder cancer recurrence and progression in patients treated with bacillus </w:t>
      </w:r>
      <w:proofErr w:type="spellStart"/>
      <w:r w:rsidRPr="00EC6125">
        <w:rPr>
          <w:rFonts w:ascii="Arial" w:eastAsia="Times New Roman" w:hAnsi="Arial" w:cs="Arial"/>
          <w:color w:val="000000"/>
          <w:sz w:val="20"/>
          <w:szCs w:val="20"/>
          <w:lang w:val="en-US"/>
        </w:rPr>
        <w:t>Calmette</w:t>
      </w:r>
      <w:proofErr w:type="spellEnd"/>
      <w:r w:rsidRPr="00EC6125">
        <w:rPr>
          <w:rFonts w:ascii="Arial" w:eastAsia="Times New Roman" w:hAnsi="Arial" w:cs="Arial"/>
          <w:color w:val="000000"/>
          <w:sz w:val="20"/>
          <w:szCs w:val="20"/>
          <w:lang w:val="en-US"/>
        </w:rPr>
        <w:t xml:space="preserve">-Guerin: the CUETO scoring model. </w:t>
      </w:r>
      <w:r>
        <w:rPr>
          <w:rFonts w:ascii="Arial" w:eastAsia="Times New Roman" w:hAnsi="Arial" w:cs="Arial"/>
          <w:color w:val="000000"/>
          <w:sz w:val="20"/>
          <w:szCs w:val="20"/>
        </w:rPr>
        <w:t xml:space="preserve">J </w:t>
      </w:r>
      <w:proofErr w:type="spellStart"/>
      <w:r>
        <w:rPr>
          <w:rFonts w:ascii="Arial" w:eastAsia="Times New Roman" w:hAnsi="Arial" w:cs="Arial"/>
          <w:color w:val="000000"/>
          <w:sz w:val="20"/>
          <w:szCs w:val="20"/>
        </w:rPr>
        <w:t>Urol</w:t>
      </w:r>
      <w:proofErr w:type="spellEnd"/>
      <w:r>
        <w:rPr>
          <w:rFonts w:ascii="Arial" w:eastAsia="Times New Roman" w:hAnsi="Arial" w:cs="Arial"/>
          <w:color w:val="000000"/>
          <w:sz w:val="20"/>
          <w:szCs w:val="20"/>
        </w:rPr>
        <w:t>. 2009;182(5):2195–2203.</w:t>
      </w:r>
    </w:p>
    <w:p w:rsidR="009F09BB" w:rsidRPr="007932DB" w:rsidRDefault="009F09BB" w:rsidP="007C7A31">
      <w:pPr>
        <w:spacing w:before="100" w:beforeAutospacing="1" w:after="100" w:afterAutospacing="1"/>
        <w:ind w:left="360"/>
        <w:jc w:val="both"/>
        <w:rPr>
          <w:rFonts w:ascii="Arial" w:eastAsia="Times New Roman" w:hAnsi="Arial" w:cs="Arial"/>
          <w:color w:val="000000"/>
          <w:sz w:val="20"/>
          <w:szCs w:val="20"/>
        </w:rPr>
      </w:pPr>
    </w:p>
    <w:sectPr w:rsidR="009F09BB" w:rsidRPr="00793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A47A1"/>
    <w:multiLevelType w:val="multilevel"/>
    <w:tmpl w:val="826AAE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91EC1"/>
    <w:multiLevelType w:val="multilevel"/>
    <w:tmpl w:val="04384C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84003D"/>
    <w:multiLevelType w:val="multilevel"/>
    <w:tmpl w:val="82940B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63057C51"/>
    <w:multiLevelType w:val="multilevel"/>
    <w:tmpl w:val="0D84CA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DB"/>
    <w:rsid w:val="00101868"/>
    <w:rsid w:val="00134193"/>
    <w:rsid w:val="00180BB3"/>
    <w:rsid w:val="001E786A"/>
    <w:rsid w:val="00304C0C"/>
    <w:rsid w:val="006D63FB"/>
    <w:rsid w:val="007277C5"/>
    <w:rsid w:val="007932DB"/>
    <w:rsid w:val="007C7A31"/>
    <w:rsid w:val="009F09BB"/>
    <w:rsid w:val="00EC612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2727C"/>
  <w15:docId w15:val="{5D2C3C96-9F15-45D1-86D4-7F2656C13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2DB"/>
    <w:pPr>
      <w:spacing w:after="0" w:line="240" w:lineRule="auto"/>
    </w:pPr>
    <w:rPr>
      <w:rFonts w:ascii="Times New Roman" w:hAnsi="Times New Roman" w:cs="Times New Roman"/>
      <w:sz w:val="24"/>
      <w:szCs w:val="24"/>
      <w:lang w:eastAsia="fr-BE"/>
    </w:rPr>
  </w:style>
  <w:style w:type="paragraph" w:styleId="Titre3">
    <w:name w:val="heading 3"/>
    <w:basedOn w:val="Normal"/>
    <w:link w:val="Titre3Car"/>
    <w:uiPriority w:val="9"/>
    <w:unhideWhenUsed/>
    <w:qFormat/>
    <w:rsid w:val="007932DB"/>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7932DB"/>
    <w:rPr>
      <w:rFonts w:ascii="Times New Roman" w:hAnsi="Times New Roman" w:cs="Times New Roman"/>
      <w:b/>
      <w:bCs/>
      <w:sz w:val="27"/>
      <w:szCs w:val="27"/>
      <w:lang w:eastAsia="fr-BE"/>
    </w:rPr>
  </w:style>
  <w:style w:type="character" w:styleId="Lienhypertexte">
    <w:name w:val="Hyperlink"/>
    <w:basedOn w:val="Policepardfaut"/>
    <w:uiPriority w:val="99"/>
    <w:semiHidden/>
    <w:unhideWhenUsed/>
    <w:rsid w:val="007932DB"/>
    <w:rPr>
      <w:color w:val="0000FF"/>
      <w:u w:val="single"/>
    </w:rPr>
  </w:style>
  <w:style w:type="paragraph" w:styleId="NormalWeb">
    <w:name w:val="Normal (Web)"/>
    <w:basedOn w:val="Normal"/>
    <w:uiPriority w:val="99"/>
    <w:unhideWhenUsed/>
    <w:rsid w:val="007932DB"/>
    <w:pPr>
      <w:spacing w:before="100" w:beforeAutospacing="1" w:after="100" w:afterAutospacing="1"/>
    </w:pPr>
  </w:style>
  <w:style w:type="character" w:styleId="lev">
    <w:name w:val="Strong"/>
    <w:basedOn w:val="Policepardfaut"/>
    <w:uiPriority w:val="22"/>
    <w:qFormat/>
    <w:rsid w:val="007932DB"/>
    <w:rPr>
      <w:b/>
      <w:bCs/>
    </w:rPr>
  </w:style>
  <w:style w:type="character" w:styleId="Accentuation">
    <w:name w:val="Emphasis"/>
    <w:basedOn w:val="Policepardfaut"/>
    <w:uiPriority w:val="20"/>
    <w:qFormat/>
    <w:rsid w:val="007932DB"/>
    <w:rPr>
      <w:i/>
      <w:iCs/>
    </w:rPr>
  </w:style>
  <w:style w:type="paragraph" w:customStyle="1" w:styleId="Default">
    <w:name w:val="Default"/>
    <w:rsid w:val="007C7A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11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1228</Words>
  <Characters>6760</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Hopital Erasme</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Roumeguere  Thierry</dc:creator>
  <cp:lastModifiedBy>Wayllace Riguera Maria Daniela</cp:lastModifiedBy>
  <cp:revision>5</cp:revision>
  <dcterms:created xsi:type="dcterms:W3CDTF">2022-02-15T12:36:00Z</dcterms:created>
  <dcterms:modified xsi:type="dcterms:W3CDTF">2022-03-31T11:06:00Z</dcterms:modified>
</cp:coreProperties>
</file>